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55"/>
        <w:gridCol w:w="2017"/>
        <w:gridCol w:w="2170"/>
        <w:gridCol w:w="2054"/>
      </w:tblGrid>
      <w:tr w:rsidR="00DA3BFD" w:rsidTr="007725F0">
        <w:tc>
          <w:tcPr>
            <w:tcW w:w="8296" w:type="dxa"/>
            <w:gridSpan w:val="4"/>
          </w:tcPr>
          <w:p w:rsidR="00DA3BFD" w:rsidRPr="00DA3BFD" w:rsidRDefault="00DA3BFD" w:rsidP="008847DD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DA3BFD">
              <w:rPr>
                <w:rFonts w:hint="cs"/>
                <w:b/>
                <w:bCs/>
                <w:sz w:val="44"/>
                <w:szCs w:val="44"/>
                <w:rtl/>
              </w:rPr>
              <w:t>שיתוף ציבור</w:t>
            </w:r>
          </w:p>
        </w:tc>
      </w:tr>
      <w:tr w:rsidR="00DA3BFD" w:rsidTr="00DA3BFD">
        <w:tc>
          <w:tcPr>
            <w:tcW w:w="8296" w:type="dxa"/>
            <w:gridSpan w:val="4"/>
            <w:shd w:val="clear" w:color="auto" w:fill="000000" w:themeFill="text1"/>
          </w:tcPr>
          <w:p w:rsidR="00DA3BFD" w:rsidRPr="00DA3BFD" w:rsidRDefault="00DA3BFD" w:rsidP="002C2A5D">
            <w:pPr>
              <w:tabs>
                <w:tab w:val="left" w:pos="1930"/>
              </w:tabs>
              <w:spacing w:line="276" w:lineRule="auto"/>
              <w:rPr>
                <w:color w:val="FFFFFF" w:themeColor="background1"/>
                <w:rtl/>
              </w:rPr>
            </w:pPr>
            <w:r w:rsidRPr="00DA3BFD">
              <w:rPr>
                <w:rFonts w:hint="cs"/>
                <w:color w:val="FFFFFF" w:themeColor="background1"/>
                <w:rtl/>
              </w:rPr>
              <w:t>תיאור הקורס</w:t>
            </w:r>
            <w:r w:rsidRPr="00DA3BFD">
              <w:rPr>
                <w:color w:val="FFFFFF" w:themeColor="background1"/>
                <w:rtl/>
              </w:rPr>
              <w:tab/>
            </w:r>
          </w:p>
        </w:tc>
      </w:tr>
      <w:tr w:rsidR="00DA3BFD" w:rsidTr="00DA3BFD">
        <w:trPr>
          <w:trHeight w:val="70"/>
        </w:trPr>
        <w:tc>
          <w:tcPr>
            <w:tcW w:w="8296" w:type="dxa"/>
            <w:gridSpan w:val="4"/>
          </w:tcPr>
          <w:p w:rsidR="002C2A5D" w:rsidRPr="008847DD" w:rsidRDefault="002C2A5D" w:rsidP="00860B86">
            <w:pPr>
              <w:spacing w:line="276" w:lineRule="auto"/>
              <w:jc w:val="both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תהליכי </w:t>
            </w:r>
            <w:r w:rsidR="008847DD">
              <w:rPr>
                <w:rFonts w:cs="Arial" w:hint="cs"/>
                <w:rtl/>
              </w:rPr>
              <w:t>קביעת מדיניות במרחב המקומי-אזורי, בעיקר בתחום התכנון ה</w:t>
            </w:r>
            <w:r w:rsidR="00B21408">
              <w:rPr>
                <w:rFonts w:cs="Arial" w:hint="cs"/>
                <w:rtl/>
              </w:rPr>
              <w:t xml:space="preserve">אורבני, </w:t>
            </w:r>
            <w:r w:rsidR="008847DD">
              <w:rPr>
                <w:rFonts w:cs="Arial" w:hint="cs"/>
                <w:rtl/>
              </w:rPr>
              <w:t>דורשים התייחסות גוברת והולכת לדינאמיקה חברתית-קהילתית</w:t>
            </w:r>
            <w:r>
              <w:rPr>
                <w:rFonts w:cs="Arial"/>
                <w:rtl/>
              </w:rPr>
              <w:t>. הגישה ה</w:t>
            </w:r>
            <w:r w:rsidR="00954820">
              <w:rPr>
                <w:rFonts w:cs="Arial" w:hint="cs"/>
                <w:rtl/>
              </w:rPr>
              <w:t xml:space="preserve">נורמטיבית </w:t>
            </w:r>
            <w:r w:rsidR="00D90EBA"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>ע</w:t>
            </w:r>
            <w:r w:rsidR="00D90EBA"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>סק</w:t>
            </w:r>
            <w:r w:rsidR="00D90EBA">
              <w:rPr>
                <w:rFonts w:cs="Arial" w:hint="cs"/>
                <w:rtl/>
              </w:rPr>
              <w:t>ת</w:t>
            </w:r>
            <w:r>
              <w:rPr>
                <w:rFonts w:cs="Arial"/>
                <w:rtl/>
              </w:rPr>
              <w:t xml:space="preserve"> בשיתוף ציבור כמתודה ליצירת שיח וקבלת משוב בנוגע לאירועי תכנון אד-הוק מתחלפת בגישה רחבה יותר</w:t>
            </w:r>
            <w:r w:rsidR="00954820">
              <w:rPr>
                <w:rFonts w:cs="Arial" w:hint="cs"/>
                <w:rtl/>
              </w:rPr>
              <w:t>. על פי גישה רחבה זו,</w:t>
            </w:r>
            <w:r>
              <w:rPr>
                <w:rFonts w:cs="Arial"/>
                <w:rtl/>
              </w:rPr>
              <w:t xml:space="preserve"> </w:t>
            </w:r>
            <w:r w:rsidR="00954820">
              <w:rPr>
                <w:rFonts w:cs="Arial" w:hint="cs"/>
                <w:rtl/>
              </w:rPr>
              <w:t xml:space="preserve">יש </w:t>
            </w:r>
            <w:r w:rsidR="00B21408">
              <w:rPr>
                <w:rFonts w:cs="Arial" w:hint="cs"/>
                <w:rtl/>
              </w:rPr>
              <w:t>להבליט את</w:t>
            </w:r>
            <w:r>
              <w:rPr>
                <w:rFonts w:cs="Arial"/>
                <w:rtl/>
              </w:rPr>
              <w:t xml:space="preserve"> שיתוף הציבור כתרבות וכמחויבות ארוכת טווח</w:t>
            </w:r>
            <w:r w:rsidR="00954820">
              <w:rPr>
                <w:rFonts w:cs="Arial" w:hint="cs"/>
                <w:rtl/>
              </w:rPr>
              <w:t xml:space="preserve"> הניתנות לניהול על ידי מחזיקי העניין בתהליך</w:t>
            </w:r>
            <w:r>
              <w:rPr>
                <w:rFonts w:cs="Arial"/>
                <w:rtl/>
              </w:rPr>
              <w:t xml:space="preserve">. במסגרת גישה זו השיתוף משמש </w:t>
            </w:r>
            <w:r w:rsidR="00860B86">
              <w:rPr>
                <w:rFonts w:cs="Arial" w:hint="cs"/>
                <w:rtl/>
              </w:rPr>
              <w:t>כ</w:t>
            </w:r>
            <w:r>
              <w:rPr>
                <w:rFonts w:cs="Arial"/>
                <w:rtl/>
              </w:rPr>
              <w:t>מכניזם קהילתי בר-קיימא המאפשר העברת מידע ו</w:t>
            </w:r>
            <w:r w:rsidR="00D90EBA">
              <w:rPr>
                <w:rFonts w:cs="Arial" w:hint="cs"/>
                <w:rtl/>
              </w:rPr>
              <w:t xml:space="preserve">ניהול </w:t>
            </w:r>
            <w:r>
              <w:rPr>
                <w:rFonts w:cs="Arial"/>
                <w:rtl/>
              </w:rPr>
              <w:t xml:space="preserve">תהליכי קבלת החלטות </w:t>
            </w:r>
            <w:r w:rsidR="00D90EBA">
              <w:rPr>
                <w:rFonts w:cs="Arial" w:hint="cs"/>
                <w:rtl/>
              </w:rPr>
              <w:t xml:space="preserve">ציבוריים </w:t>
            </w:r>
            <w:r>
              <w:rPr>
                <w:rFonts w:cs="Arial"/>
                <w:rtl/>
              </w:rPr>
              <w:t xml:space="preserve">מגוונים באופן משותף והדדי. המשמעות היא, שבאמצעות שיתוף מנוהל היטב, ניתן להעמיק מעורבות, להפכה לרלוונטית יותר </w:t>
            </w:r>
            <w:r w:rsidR="00C06EEB">
              <w:rPr>
                <w:rFonts w:cs="Arial" w:hint="cs"/>
                <w:rtl/>
              </w:rPr>
              <w:t>ולייצר ב</w:t>
            </w:r>
            <w:r w:rsidR="00B21408">
              <w:rPr>
                <w:rFonts w:cs="Arial" w:hint="cs"/>
                <w:rtl/>
              </w:rPr>
              <w:t>אמצעותה</w:t>
            </w:r>
            <w:r w:rsidR="00C06EEB">
              <w:rPr>
                <w:rFonts w:cs="Arial" w:hint="cs"/>
                <w:rtl/>
              </w:rPr>
              <w:t xml:space="preserve"> מדיניות התואמת יותר </w:t>
            </w:r>
            <w:r w:rsidR="00B21408">
              <w:rPr>
                <w:rFonts w:cs="Arial" w:hint="cs"/>
                <w:rtl/>
              </w:rPr>
              <w:t>לצרכי כל מחזיקי העניין</w:t>
            </w:r>
            <w:r w:rsidR="00C06EEB">
              <w:rPr>
                <w:rFonts w:cs="Arial" w:hint="cs"/>
                <w:rtl/>
              </w:rPr>
              <w:t>. בהזדמנות זו ניתן להשיג מטרות נוס</w:t>
            </w:r>
            <w:r w:rsidR="00B21408">
              <w:rPr>
                <w:rFonts w:cs="Arial" w:hint="cs"/>
                <w:rtl/>
              </w:rPr>
              <w:t xml:space="preserve">פות כמו מיתון התנגדויות, </w:t>
            </w:r>
            <w:r w:rsidR="00C06EEB">
              <w:rPr>
                <w:rFonts w:cs="Arial" w:hint="cs"/>
                <w:rtl/>
              </w:rPr>
              <w:t>חיזוק מערכות האמון</w:t>
            </w:r>
            <w:r w:rsidR="00B21408">
              <w:rPr>
                <w:rFonts w:cs="Arial" w:hint="cs"/>
                <w:rtl/>
              </w:rPr>
              <w:t xml:space="preserve"> ועוד</w:t>
            </w:r>
            <w:r w:rsidR="00C06EEB">
              <w:rPr>
                <w:rFonts w:cs="Arial" w:hint="cs"/>
                <w:rtl/>
              </w:rPr>
              <w:t xml:space="preserve">. </w:t>
            </w:r>
          </w:p>
          <w:p w:rsidR="002C2A5D" w:rsidRDefault="002C2A5D" w:rsidP="00B21408">
            <w:pPr>
              <w:spacing w:line="276" w:lineRule="auto"/>
              <w:jc w:val="both"/>
              <w:rPr>
                <w:rtl/>
              </w:rPr>
            </w:pPr>
            <w:r>
              <w:rPr>
                <w:rFonts w:cs="Arial"/>
                <w:rtl/>
              </w:rPr>
              <w:t xml:space="preserve">בקורס שלפנינו נבחן את מהותו של </w:t>
            </w:r>
            <w:r w:rsidR="00B21408">
              <w:rPr>
                <w:rFonts w:cs="Arial" w:hint="cs"/>
                <w:rtl/>
              </w:rPr>
              <w:t xml:space="preserve">שיתוף הציבור </w:t>
            </w:r>
            <w:r>
              <w:rPr>
                <w:rFonts w:cs="Arial"/>
                <w:rtl/>
              </w:rPr>
              <w:t xml:space="preserve">במרחב הקהילתי המקומי, בדגש על תפקידו של השלטון המקומי כשחקן מרכזי בתכנון הפיזי והחברתי. כמו כן, נברר מהי תרומתו של השיתוף לתהליכי תכנון אסטרטגי בסביבה הפוליטית-קהילתית בדגש על שימוש במשילות רב-מגזרית כמנוף לפיתוח מקומי. </w:t>
            </w:r>
          </w:p>
          <w:p w:rsidR="00DA3BFD" w:rsidRDefault="00DA3BFD" w:rsidP="002C2A5D">
            <w:pPr>
              <w:spacing w:line="276" w:lineRule="auto"/>
              <w:rPr>
                <w:rtl/>
              </w:rPr>
            </w:pPr>
          </w:p>
        </w:tc>
      </w:tr>
      <w:tr w:rsidR="00DA3BFD" w:rsidTr="00DA3BFD">
        <w:tc>
          <w:tcPr>
            <w:tcW w:w="8296" w:type="dxa"/>
            <w:gridSpan w:val="4"/>
            <w:shd w:val="clear" w:color="auto" w:fill="000000" w:themeFill="text1"/>
          </w:tcPr>
          <w:p w:rsidR="00DA3BFD" w:rsidRDefault="00DA3BFD" w:rsidP="002C2A5D">
            <w:pPr>
              <w:spacing w:line="276" w:lineRule="auto"/>
              <w:rPr>
                <w:rtl/>
              </w:rPr>
            </w:pPr>
            <w:r w:rsidRPr="00DA3BFD">
              <w:rPr>
                <w:rFonts w:hint="cs"/>
                <w:color w:val="FFFFFF" w:themeColor="background1"/>
                <w:rtl/>
              </w:rPr>
              <w:t>מידע בסיסי</w:t>
            </w:r>
          </w:p>
        </w:tc>
      </w:tr>
      <w:tr w:rsidR="00DA3BFD" w:rsidTr="00B64E7F">
        <w:tc>
          <w:tcPr>
            <w:tcW w:w="4072" w:type="dxa"/>
            <w:gridSpan w:val="2"/>
          </w:tcPr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שם הקורס:</w:t>
            </w:r>
          </w:p>
          <w:p w:rsidR="00DA3BFD" w:rsidRPr="00DA3BFD" w:rsidRDefault="00DA3BFD" w:rsidP="002C2A5D">
            <w:pPr>
              <w:spacing w:line="276" w:lineRule="auto"/>
              <w:rPr>
                <w:b/>
                <w:bCs/>
                <w:rtl/>
              </w:rPr>
            </w:pPr>
            <w:r w:rsidRPr="00DA3BFD">
              <w:rPr>
                <w:rFonts w:hint="cs"/>
                <w:b/>
                <w:bCs/>
                <w:rtl/>
              </w:rPr>
              <w:t>שיתוף ציבור: מכלי עבודה לתרבות של קהילה</w:t>
            </w:r>
          </w:p>
        </w:tc>
        <w:tc>
          <w:tcPr>
            <w:tcW w:w="2170" w:type="dxa"/>
          </w:tcPr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מספר קורס:</w:t>
            </w:r>
          </w:p>
        </w:tc>
        <w:tc>
          <w:tcPr>
            <w:tcW w:w="2054" w:type="dxa"/>
          </w:tcPr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נקודות זכות:</w:t>
            </w:r>
          </w:p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 נק'</w:t>
            </w:r>
          </w:p>
        </w:tc>
      </w:tr>
      <w:tr w:rsidR="00DA3BFD" w:rsidTr="00B64E7F">
        <w:tc>
          <w:tcPr>
            <w:tcW w:w="6242" w:type="dxa"/>
            <w:gridSpan w:val="3"/>
          </w:tcPr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מיקום הקורס:</w:t>
            </w:r>
          </w:p>
        </w:tc>
        <w:tc>
          <w:tcPr>
            <w:tcW w:w="2054" w:type="dxa"/>
          </w:tcPr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יום ושעה:</w:t>
            </w:r>
          </w:p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ה' 08:30-10:45</w:t>
            </w:r>
          </w:p>
        </w:tc>
      </w:tr>
      <w:tr w:rsidR="00DA3BFD" w:rsidTr="00B64E7F">
        <w:tc>
          <w:tcPr>
            <w:tcW w:w="2055" w:type="dxa"/>
          </w:tcPr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שם המרצה:</w:t>
            </w:r>
          </w:p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ד"ר יריב שגיא</w:t>
            </w:r>
          </w:p>
        </w:tc>
        <w:tc>
          <w:tcPr>
            <w:tcW w:w="4187" w:type="dxa"/>
            <w:gridSpan w:val="2"/>
          </w:tcPr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דוא"ל:</w:t>
            </w:r>
          </w:p>
          <w:p w:rsidR="00DA3BFD" w:rsidRDefault="00724A22" w:rsidP="002C2A5D">
            <w:pPr>
              <w:spacing w:line="276" w:lineRule="auto"/>
              <w:rPr>
                <w:rtl/>
              </w:rPr>
            </w:pPr>
            <w:r>
              <w:t>s</w:t>
            </w:r>
            <w:r w:rsidR="00DA3BFD">
              <w:t>agi.yariv@gmail.com</w:t>
            </w:r>
          </w:p>
        </w:tc>
        <w:tc>
          <w:tcPr>
            <w:tcW w:w="2054" w:type="dxa"/>
          </w:tcPr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שעות קבלה:</w:t>
            </w:r>
          </w:p>
          <w:p w:rsidR="00DA3BFD" w:rsidRDefault="00DA3BFD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בתיאום מראש</w:t>
            </w:r>
          </w:p>
        </w:tc>
      </w:tr>
      <w:tr w:rsidR="00DA3BFD" w:rsidTr="00DC4283">
        <w:tc>
          <w:tcPr>
            <w:tcW w:w="8296" w:type="dxa"/>
            <w:gridSpan w:val="4"/>
          </w:tcPr>
          <w:p w:rsidR="00DA3BFD" w:rsidRDefault="00DA3BFD" w:rsidP="002C2A5D">
            <w:pPr>
              <w:spacing w:line="276" w:lineRule="auto"/>
              <w:rPr>
                <w:b/>
                <w:bCs/>
                <w:rtl/>
              </w:rPr>
            </w:pPr>
            <w:r w:rsidRPr="00DA3BFD">
              <w:rPr>
                <w:rFonts w:hint="cs"/>
                <w:b/>
                <w:bCs/>
                <w:rtl/>
              </w:rPr>
              <w:t>מבנה הקורס</w:t>
            </w:r>
          </w:p>
          <w:p w:rsidR="00405A4D" w:rsidRPr="00F36856" w:rsidRDefault="00405A4D" w:rsidP="00CB20FB">
            <w:pPr>
              <w:spacing w:line="276" w:lineRule="auto"/>
              <w:jc w:val="both"/>
              <w:rPr>
                <w:rtl/>
              </w:rPr>
            </w:pPr>
            <w:r w:rsidRPr="00F36856">
              <w:rPr>
                <w:rFonts w:hint="cs"/>
                <w:rtl/>
              </w:rPr>
              <w:t xml:space="preserve">הקורס מחולק </w:t>
            </w:r>
            <w:r w:rsidR="00F36856" w:rsidRPr="00F36856">
              <w:rPr>
                <w:rFonts w:hint="cs"/>
                <w:rtl/>
              </w:rPr>
              <w:t>לשלושה</w:t>
            </w:r>
            <w:r w:rsidRPr="00F36856">
              <w:rPr>
                <w:rFonts w:hint="cs"/>
                <w:rtl/>
              </w:rPr>
              <w:t xml:space="preserve"> חלקים. בחלקו הראשון נתמקד בהגדרות ובהבנת הגישות הנורמטיביות לשיתוף ציבור. שיטות אלה </w:t>
            </w:r>
            <w:r w:rsidR="00B21408" w:rsidRPr="00F36856">
              <w:rPr>
                <w:rFonts w:hint="cs"/>
                <w:rtl/>
              </w:rPr>
              <w:t>מ</w:t>
            </w:r>
            <w:r w:rsidR="00B21408">
              <w:rPr>
                <w:rFonts w:hint="cs"/>
                <w:rtl/>
              </w:rPr>
              <w:t>אופיינו</w:t>
            </w:r>
            <w:r w:rsidR="00B21408">
              <w:rPr>
                <w:rFonts w:hint="eastAsia"/>
                <w:rtl/>
              </w:rPr>
              <w:t>ת</w:t>
            </w:r>
            <w:r w:rsidR="00B21408">
              <w:rPr>
                <w:rFonts w:hint="cs"/>
                <w:rtl/>
              </w:rPr>
              <w:t xml:space="preserve"> </w:t>
            </w:r>
            <w:r w:rsidRPr="00F36856">
              <w:rPr>
                <w:rFonts w:hint="cs"/>
                <w:rtl/>
              </w:rPr>
              <w:t xml:space="preserve">לרוב </w:t>
            </w:r>
            <w:r w:rsidR="00B21408">
              <w:rPr>
                <w:rFonts w:hint="cs"/>
                <w:rtl/>
              </w:rPr>
              <w:t>ב</w:t>
            </w:r>
            <w:r w:rsidRPr="00F36856">
              <w:rPr>
                <w:rFonts w:hint="cs"/>
                <w:rtl/>
              </w:rPr>
              <w:t>תפי</w:t>
            </w:r>
            <w:r w:rsidR="00B21408">
              <w:rPr>
                <w:rFonts w:hint="cs"/>
                <w:rtl/>
              </w:rPr>
              <w:t>ש</w:t>
            </w:r>
            <w:r w:rsidRPr="00F36856">
              <w:rPr>
                <w:rFonts w:hint="cs"/>
                <w:rtl/>
              </w:rPr>
              <w:t xml:space="preserve">ת השיתוף ככלי עבודה המיועד </w:t>
            </w:r>
            <w:r w:rsidR="00860B86">
              <w:rPr>
                <w:rFonts w:hint="cs"/>
                <w:rtl/>
              </w:rPr>
              <w:t xml:space="preserve">לקבלת החלטות </w:t>
            </w:r>
            <w:r w:rsidRPr="00F36856">
              <w:rPr>
                <w:rFonts w:hint="cs"/>
                <w:rtl/>
              </w:rPr>
              <w:t>ו</w:t>
            </w:r>
            <w:r w:rsidR="00860B86">
              <w:rPr>
                <w:rFonts w:hint="cs"/>
                <w:rtl/>
              </w:rPr>
              <w:t>אשרור</w:t>
            </w:r>
            <w:r w:rsidRPr="00F36856">
              <w:rPr>
                <w:rFonts w:hint="cs"/>
                <w:rtl/>
              </w:rPr>
              <w:t xml:space="preserve"> מדיניות</w:t>
            </w:r>
            <w:r w:rsidR="00860B86">
              <w:rPr>
                <w:rFonts w:hint="cs"/>
                <w:rtl/>
              </w:rPr>
              <w:t xml:space="preserve"> בטווח הקצר</w:t>
            </w:r>
            <w:r w:rsidRPr="00F36856">
              <w:rPr>
                <w:rFonts w:hint="cs"/>
                <w:rtl/>
              </w:rPr>
              <w:t xml:space="preserve">. בחלק השני נתמקד בחשיבה המודרנית על שיתוף ציבור השמה דגש על תפישתו של השיתוף כמערכת יחסים ארוכת טווח. </w:t>
            </w:r>
            <w:r w:rsidR="00B21408">
              <w:rPr>
                <w:rFonts w:hint="cs"/>
                <w:rtl/>
              </w:rPr>
              <w:t>אי לכך, נדרש להבין את השיתוף ככלי מרכזי ב</w:t>
            </w:r>
            <w:r w:rsidR="00F36856" w:rsidRPr="00F36856">
              <w:rPr>
                <w:rFonts w:hint="cs"/>
                <w:rtl/>
              </w:rPr>
              <w:t xml:space="preserve">פיתוח </w:t>
            </w:r>
            <w:r w:rsidR="00B21408">
              <w:rPr>
                <w:rFonts w:hint="cs"/>
                <w:rtl/>
              </w:rPr>
              <w:t xml:space="preserve">ובינוי </w:t>
            </w:r>
            <w:r w:rsidR="00F36856" w:rsidRPr="00F36856">
              <w:rPr>
                <w:rFonts w:hint="cs"/>
                <w:rtl/>
              </w:rPr>
              <w:t>קהילה</w:t>
            </w:r>
            <w:r w:rsidR="00B21408">
              <w:rPr>
                <w:rFonts w:hint="cs"/>
                <w:rtl/>
              </w:rPr>
              <w:t xml:space="preserve"> וכאמצעי מרכזי בעיצובה של </w:t>
            </w:r>
            <w:r w:rsidR="00F36856" w:rsidRPr="00F36856">
              <w:rPr>
                <w:rFonts w:hint="cs"/>
                <w:rtl/>
              </w:rPr>
              <w:t>מדיניות מיטבית עבור כלל מחזיקי העניין. בחלק השלישי נעסוק בכמה מהאתגרים המרכזיים בשיתוף בישראל</w:t>
            </w:r>
            <w:r w:rsidR="00B21408">
              <w:rPr>
                <w:rFonts w:hint="cs"/>
                <w:rtl/>
              </w:rPr>
              <w:t xml:space="preserve">, </w:t>
            </w:r>
            <w:r w:rsidR="00F36856" w:rsidRPr="00F36856">
              <w:rPr>
                <w:rFonts w:hint="cs"/>
                <w:rtl/>
              </w:rPr>
              <w:t xml:space="preserve">בכלל זאת נעסוק באופן תכנון השיתוף </w:t>
            </w:r>
            <w:r w:rsidR="00B21408">
              <w:rPr>
                <w:rFonts w:hint="cs"/>
                <w:rtl/>
              </w:rPr>
              <w:t>ב</w:t>
            </w:r>
            <w:r w:rsidR="00B21408" w:rsidRPr="00F36856">
              <w:rPr>
                <w:rFonts w:hint="cs"/>
                <w:rtl/>
              </w:rPr>
              <w:t>קהילות</w:t>
            </w:r>
            <w:r w:rsidR="00F36856" w:rsidRPr="00F36856">
              <w:rPr>
                <w:rFonts w:hint="cs"/>
                <w:rtl/>
              </w:rPr>
              <w:t xml:space="preserve"> מכאניות</w:t>
            </w:r>
            <w:r w:rsidR="00860B86">
              <w:rPr>
                <w:rFonts w:hint="cs"/>
                <w:rtl/>
              </w:rPr>
              <w:t xml:space="preserve"> (מסורתיות)</w:t>
            </w:r>
            <w:r w:rsidR="00F36856" w:rsidRPr="00F36856">
              <w:rPr>
                <w:rFonts w:hint="cs"/>
                <w:rtl/>
              </w:rPr>
              <w:t xml:space="preserve"> ו</w:t>
            </w:r>
            <w:r w:rsidR="00B21408">
              <w:rPr>
                <w:rFonts w:hint="cs"/>
                <w:rtl/>
              </w:rPr>
              <w:t>ב</w:t>
            </w:r>
            <w:r w:rsidR="00F36856" w:rsidRPr="00F36856">
              <w:rPr>
                <w:rFonts w:hint="cs"/>
                <w:rtl/>
              </w:rPr>
              <w:t>קהילות בגדילה מואצת</w:t>
            </w:r>
            <w:r w:rsidR="00860B86">
              <w:rPr>
                <w:rFonts w:hint="cs"/>
                <w:rtl/>
              </w:rPr>
              <w:t xml:space="preserve"> (כמו במקרה של הסכמי הגג)</w:t>
            </w:r>
            <w:r w:rsidR="00F36856" w:rsidRPr="00F36856">
              <w:rPr>
                <w:rFonts w:hint="cs"/>
                <w:rtl/>
              </w:rPr>
              <w:t xml:space="preserve">. </w:t>
            </w:r>
          </w:p>
          <w:p w:rsidR="00DA3BFD" w:rsidRDefault="00DA3BFD" w:rsidP="002C2A5D">
            <w:pPr>
              <w:spacing w:line="276" w:lineRule="auto"/>
              <w:rPr>
                <w:rtl/>
              </w:rPr>
            </w:pPr>
          </w:p>
        </w:tc>
      </w:tr>
      <w:tr w:rsidR="00DA3BFD" w:rsidTr="00825481">
        <w:tc>
          <w:tcPr>
            <w:tcW w:w="8296" w:type="dxa"/>
            <w:gridSpan w:val="4"/>
          </w:tcPr>
          <w:p w:rsidR="00DA3BFD" w:rsidRDefault="00DA3BFD" w:rsidP="002C2A5D">
            <w:pPr>
              <w:spacing w:line="276" w:lineRule="auto"/>
              <w:rPr>
                <w:b/>
                <w:bCs/>
                <w:rtl/>
              </w:rPr>
            </w:pPr>
            <w:r w:rsidRPr="00DA3BFD">
              <w:rPr>
                <w:rFonts w:hint="cs"/>
                <w:b/>
                <w:bCs/>
                <w:rtl/>
              </w:rPr>
              <w:t>שיטות הוראה</w:t>
            </w:r>
          </w:p>
          <w:p w:rsidR="00EE0089" w:rsidRPr="00EE0089" w:rsidRDefault="00405A4D" w:rsidP="00B21408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הוראת הקורס תתבסס ב</w:t>
            </w:r>
            <w:r w:rsidR="00B21408">
              <w:rPr>
                <w:rFonts w:hint="cs"/>
                <w:rtl/>
              </w:rPr>
              <w:t>רובה</w:t>
            </w:r>
            <w:r>
              <w:rPr>
                <w:rFonts w:hint="cs"/>
                <w:rtl/>
              </w:rPr>
              <w:t xml:space="preserve"> על הרצאות פרונטליות</w:t>
            </w:r>
            <w:r w:rsidR="00B21408">
              <w:rPr>
                <w:rFonts w:hint="cs"/>
                <w:rtl/>
              </w:rPr>
              <w:t xml:space="preserve"> וניתוח מקרים.</w:t>
            </w:r>
            <w:r>
              <w:rPr>
                <w:rFonts w:hint="cs"/>
                <w:rtl/>
              </w:rPr>
              <w:t xml:space="preserve"> חלק מהמפגשים יתקיימו במתכונת של סדנה</w:t>
            </w:r>
            <w:r w:rsidR="00B21408">
              <w:rPr>
                <w:rFonts w:hint="cs"/>
                <w:rtl/>
              </w:rPr>
              <w:t xml:space="preserve"> לצורך העמקת הלמידה החווייתי</w:t>
            </w:r>
            <w:r w:rsidR="00B21408">
              <w:rPr>
                <w:rFonts w:hint="eastAsia"/>
                <w:rtl/>
              </w:rPr>
              <w:t>ת</w:t>
            </w:r>
            <w:r w:rsidR="00B21408">
              <w:rPr>
                <w:rFonts w:hint="cs"/>
                <w:rtl/>
              </w:rPr>
              <w:t xml:space="preserve"> של התחום, ותתקיים לפחות הרצאת אורח אחת</w:t>
            </w:r>
            <w:r w:rsidR="00F36856">
              <w:rPr>
                <w:rFonts w:hint="cs"/>
                <w:rtl/>
              </w:rPr>
              <w:t xml:space="preserve">. הסטודנטים מוזמנים להציע בכל שלב אירוע שיתוף אותו הם מכירים ואשר </w:t>
            </w:r>
            <w:r w:rsidR="00B21408">
              <w:rPr>
                <w:rFonts w:hint="cs"/>
                <w:rtl/>
              </w:rPr>
              <w:t xml:space="preserve">אותו </w:t>
            </w:r>
            <w:r w:rsidR="00F36856">
              <w:rPr>
                <w:rFonts w:hint="cs"/>
                <w:rtl/>
              </w:rPr>
              <w:t xml:space="preserve">הם מעוניינים להעלות במסגרת הדיונים בכיתה.  </w:t>
            </w:r>
          </w:p>
          <w:p w:rsidR="00DA3BFD" w:rsidRDefault="00DA3BFD" w:rsidP="002C2A5D">
            <w:pPr>
              <w:spacing w:line="276" w:lineRule="auto"/>
              <w:rPr>
                <w:rtl/>
              </w:rPr>
            </w:pPr>
          </w:p>
        </w:tc>
      </w:tr>
      <w:tr w:rsidR="00DA3BFD" w:rsidTr="00DA3BFD">
        <w:tc>
          <w:tcPr>
            <w:tcW w:w="8296" w:type="dxa"/>
            <w:gridSpan w:val="4"/>
            <w:shd w:val="clear" w:color="auto" w:fill="000000" w:themeFill="text1"/>
          </w:tcPr>
          <w:p w:rsidR="00DA3BFD" w:rsidRPr="00DA3BFD" w:rsidRDefault="00DA3BFD" w:rsidP="002C2A5D">
            <w:pPr>
              <w:tabs>
                <w:tab w:val="left" w:pos="1450"/>
              </w:tabs>
              <w:spacing w:line="276" w:lineRule="auto"/>
              <w:rPr>
                <w:color w:val="FFFFFF" w:themeColor="background1"/>
                <w:rtl/>
              </w:rPr>
            </w:pPr>
            <w:r w:rsidRPr="00DA3BFD">
              <w:rPr>
                <w:rFonts w:hint="cs"/>
                <w:color w:val="FFFFFF" w:themeColor="background1"/>
                <w:rtl/>
              </w:rPr>
              <w:t>חומרים</w:t>
            </w:r>
            <w:r w:rsidRPr="00DA3BFD">
              <w:rPr>
                <w:color w:val="FFFFFF" w:themeColor="background1"/>
                <w:rtl/>
              </w:rPr>
              <w:tab/>
            </w:r>
          </w:p>
        </w:tc>
      </w:tr>
      <w:tr w:rsidR="00DA3BFD" w:rsidTr="00343CFE">
        <w:tc>
          <w:tcPr>
            <w:tcW w:w="8296" w:type="dxa"/>
            <w:gridSpan w:val="4"/>
          </w:tcPr>
          <w:p w:rsidR="00F36856" w:rsidRDefault="00DA3BFD" w:rsidP="002C2A5D">
            <w:pPr>
              <w:spacing w:line="276" w:lineRule="auto"/>
              <w:rPr>
                <w:b/>
                <w:bCs/>
                <w:rtl/>
              </w:rPr>
            </w:pPr>
            <w:r w:rsidRPr="00DA3BFD">
              <w:rPr>
                <w:rFonts w:hint="cs"/>
                <w:b/>
                <w:bCs/>
                <w:rtl/>
              </w:rPr>
              <w:t>מקורות עיקריים</w:t>
            </w:r>
            <w:r w:rsidR="00B64E7F">
              <w:rPr>
                <w:rFonts w:hint="cs"/>
                <w:b/>
                <w:bCs/>
                <w:rtl/>
              </w:rPr>
              <w:t xml:space="preserve"> </w:t>
            </w:r>
            <w:r w:rsidR="00B64E7F" w:rsidRPr="00B64E7F">
              <w:rPr>
                <w:rFonts w:hint="cs"/>
                <w:rtl/>
              </w:rPr>
              <w:t>(בהמשך תימסר רשימת קריאה לכל שיעור)</w:t>
            </w:r>
          </w:p>
          <w:p w:rsidR="00F36856" w:rsidRDefault="00F36856" w:rsidP="002C2A5D">
            <w:pPr>
              <w:spacing w:line="276" w:lineRule="auto"/>
              <w:rPr>
                <w:b/>
                <w:bCs/>
                <w:rtl/>
              </w:rPr>
            </w:pPr>
          </w:p>
          <w:p w:rsidR="00F36856" w:rsidRDefault="00F36856" w:rsidP="007269C7">
            <w:pPr>
              <w:spacing w:line="276" w:lineRule="auto"/>
              <w:jc w:val="both"/>
              <w:rPr>
                <w:rFonts w:cs="Arial"/>
                <w:rtl/>
              </w:rPr>
            </w:pPr>
            <w:r w:rsidRPr="00F36856">
              <w:rPr>
                <w:rFonts w:cs="Arial"/>
                <w:rtl/>
              </w:rPr>
              <w:t xml:space="preserve">בארי, א' </w:t>
            </w:r>
            <w:proofErr w:type="spellStart"/>
            <w:r w:rsidRPr="00F36856">
              <w:rPr>
                <w:rFonts w:cs="Arial"/>
                <w:rtl/>
              </w:rPr>
              <w:t>ורזין</w:t>
            </w:r>
            <w:proofErr w:type="spellEnd"/>
            <w:r w:rsidRPr="00F36856">
              <w:rPr>
                <w:rFonts w:cs="Arial"/>
                <w:rtl/>
              </w:rPr>
              <w:t xml:space="preserve">, ע'. 2015. </w:t>
            </w:r>
            <w:r w:rsidRPr="00B21408">
              <w:rPr>
                <w:rFonts w:cs="Arial"/>
                <w:i/>
                <w:iCs/>
                <w:rtl/>
              </w:rPr>
              <w:t>דמוקרטיה מקומית בישראל</w:t>
            </w:r>
            <w:r w:rsidRPr="00F36856">
              <w:rPr>
                <w:rFonts w:cs="Arial"/>
                <w:rtl/>
              </w:rPr>
              <w:t xml:space="preserve">. ירושלים: מחקרי </w:t>
            </w:r>
            <w:proofErr w:type="spellStart"/>
            <w:r w:rsidRPr="00F36856">
              <w:rPr>
                <w:rFonts w:cs="Arial"/>
                <w:rtl/>
              </w:rPr>
              <w:t>פלורסהיימר</w:t>
            </w:r>
            <w:proofErr w:type="spellEnd"/>
            <w:r w:rsidRPr="00F36856">
              <w:rPr>
                <w:rFonts w:cs="Arial"/>
                <w:rtl/>
              </w:rPr>
              <w:t xml:space="preserve">.  חלק </w:t>
            </w:r>
            <w:proofErr w:type="spellStart"/>
            <w:r w:rsidRPr="00F36856">
              <w:rPr>
                <w:rFonts w:cs="Arial"/>
                <w:rtl/>
              </w:rPr>
              <w:t>א'+ב</w:t>
            </w:r>
            <w:proofErr w:type="spellEnd"/>
            <w:r w:rsidRPr="00F36856">
              <w:rPr>
                <w:rFonts w:cs="Arial"/>
                <w:rtl/>
              </w:rPr>
              <w:t xml:space="preserve">'. </w:t>
            </w:r>
          </w:p>
          <w:p w:rsidR="00F36856" w:rsidRPr="00F36856" w:rsidRDefault="00F36856" w:rsidP="007269C7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B21408" w:rsidRDefault="00B21408" w:rsidP="007269C7">
            <w:pPr>
              <w:spacing w:line="276" w:lineRule="auto"/>
              <w:jc w:val="both"/>
              <w:rPr>
                <w:rFonts w:cs="Arial"/>
                <w:rtl/>
              </w:rPr>
            </w:pPr>
            <w:r w:rsidRPr="00B21408">
              <w:rPr>
                <w:rFonts w:cs="Arial"/>
                <w:rtl/>
              </w:rPr>
              <w:t xml:space="preserve">גבע, י' ורוזן, ג'. 2016. </w:t>
            </w:r>
            <w:r w:rsidRPr="00B21408">
              <w:rPr>
                <w:rFonts w:cs="Arial"/>
                <w:i/>
                <w:iCs/>
                <w:rtl/>
              </w:rPr>
              <w:t>עבודה קהילתית בתהליך התחדשות עירונית</w:t>
            </w:r>
            <w:r w:rsidRPr="00B21408">
              <w:rPr>
                <w:rFonts w:cs="Arial"/>
                <w:rtl/>
              </w:rPr>
              <w:t xml:space="preserve">. ירושלים: מכון </w:t>
            </w:r>
            <w:proofErr w:type="spellStart"/>
            <w:r w:rsidRPr="00B21408">
              <w:rPr>
                <w:rFonts w:cs="Arial"/>
                <w:rtl/>
              </w:rPr>
              <w:t>פלורסהיימר</w:t>
            </w:r>
            <w:proofErr w:type="spellEnd"/>
            <w:r w:rsidRPr="00B21408">
              <w:rPr>
                <w:rFonts w:cs="Arial"/>
                <w:rtl/>
              </w:rPr>
              <w:t xml:space="preserve"> למחקרי מדיניות.</w:t>
            </w:r>
          </w:p>
          <w:p w:rsidR="00B21408" w:rsidRDefault="00B21408" w:rsidP="007269C7">
            <w:pPr>
              <w:spacing w:line="276" w:lineRule="auto"/>
              <w:jc w:val="both"/>
              <w:rPr>
                <w:rFonts w:cs="Arial"/>
                <w:rtl/>
              </w:rPr>
            </w:pPr>
          </w:p>
          <w:p w:rsidR="00F36856" w:rsidRDefault="00F36856" w:rsidP="007269C7">
            <w:pPr>
              <w:spacing w:line="276" w:lineRule="auto"/>
              <w:jc w:val="both"/>
              <w:rPr>
                <w:rtl/>
              </w:rPr>
            </w:pPr>
            <w:r w:rsidRPr="00F36856">
              <w:rPr>
                <w:rFonts w:cs="Arial"/>
                <w:rtl/>
              </w:rPr>
              <w:t xml:space="preserve">סדן, א' 2009. </w:t>
            </w:r>
            <w:r w:rsidRPr="00B21408">
              <w:rPr>
                <w:rFonts w:cs="Arial"/>
                <w:i/>
                <w:iCs/>
                <w:rtl/>
              </w:rPr>
              <w:t>עבודה קהילתית: שיטות לשינוי חברתי</w:t>
            </w:r>
            <w:r w:rsidRPr="00F36856">
              <w:rPr>
                <w:rFonts w:cs="Arial"/>
                <w:rtl/>
              </w:rPr>
              <w:t>. תל אביב: הוצאת הקיבוץ המאוחד.</w:t>
            </w:r>
          </w:p>
          <w:p w:rsidR="00F36856" w:rsidRPr="00F36856" w:rsidRDefault="00F36856" w:rsidP="007269C7">
            <w:pPr>
              <w:spacing w:line="276" w:lineRule="auto"/>
              <w:jc w:val="both"/>
              <w:rPr>
                <w:rtl/>
              </w:rPr>
            </w:pPr>
          </w:p>
          <w:p w:rsidR="00F36856" w:rsidRDefault="00F36856" w:rsidP="007269C7">
            <w:pPr>
              <w:spacing w:line="276" w:lineRule="auto"/>
              <w:jc w:val="both"/>
              <w:rPr>
                <w:rtl/>
              </w:rPr>
            </w:pPr>
            <w:r w:rsidRPr="00F36856">
              <w:rPr>
                <w:rFonts w:cs="Arial"/>
                <w:rtl/>
              </w:rPr>
              <w:t xml:space="preserve">סדן, א. 2002. </w:t>
            </w:r>
            <w:r w:rsidRPr="00B21408">
              <w:rPr>
                <w:rFonts w:cs="Arial"/>
                <w:i/>
                <w:iCs/>
                <w:rtl/>
              </w:rPr>
              <w:t>העצמה ותכנון קהילתי: תיאוריה ופרקטיקה של פתרונות חברתיים אנושיים</w:t>
            </w:r>
            <w:r w:rsidRPr="00F36856">
              <w:rPr>
                <w:rFonts w:cs="Arial"/>
                <w:rtl/>
              </w:rPr>
              <w:t>. תל-אביב: הקיבוץ המאוחד.</w:t>
            </w:r>
          </w:p>
          <w:p w:rsidR="00F36856" w:rsidRPr="00F36856" w:rsidRDefault="00F36856" w:rsidP="007269C7">
            <w:pPr>
              <w:spacing w:line="276" w:lineRule="auto"/>
              <w:jc w:val="both"/>
              <w:rPr>
                <w:rtl/>
              </w:rPr>
            </w:pPr>
          </w:p>
          <w:p w:rsidR="00F36856" w:rsidRDefault="00F36856" w:rsidP="007269C7">
            <w:pPr>
              <w:spacing w:line="276" w:lineRule="auto"/>
              <w:jc w:val="both"/>
              <w:rPr>
                <w:rtl/>
              </w:rPr>
            </w:pPr>
            <w:proofErr w:type="spellStart"/>
            <w:r w:rsidRPr="00F36856">
              <w:rPr>
                <w:rFonts w:cs="Arial"/>
                <w:rtl/>
              </w:rPr>
              <w:t>צ'רצ'מן</w:t>
            </w:r>
            <w:proofErr w:type="spellEnd"/>
            <w:r w:rsidRPr="00F36856">
              <w:rPr>
                <w:rFonts w:cs="Arial"/>
                <w:rtl/>
              </w:rPr>
              <w:t xml:space="preserve">, א' וסדן א' (עורכות). 2003. </w:t>
            </w:r>
            <w:r w:rsidRPr="00B21408">
              <w:rPr>
                <w:rFonts w:cs="Arial"/>
                <w:i/>
                <w:iCs/>
                <w:rtl/>
              </w:rPr>
              <w:t>השתתפות: הדרך שלך להשפיע</w:t>
            </w:r>
            <w:r w:rsidRPr="00F36856">
              <w:rPr>
                <w:rFonts w:cs="Arial"/>
                <w:rtl/>
              </w:rPr>
              <w:t>. תל אביב: הוצאת הקיבוץ המאוחד.</w:t>
            </w:r>
          </w:p>
          <w:p w:rsidR="007B2E18" w:rsidRDefault="007B2E18" w:rsidP="007269C7">
            <w:pPr>
              <w:spacing w:line="276" w:lineRule="auto"/>
              <w:jc w:val="both"/>
              <w:rPr>
                <w:rtl/>
              </w:rPr>
            </w:pPr>
          </w:p>
          <w:p w:rsidR="007B2E18" w:rsidRDefault="007B2E18" w:rsidP="007269C7">
            <w:pPr>
              <w:spacing w:line="276" w:lineRule="auto"/>
              <w:jc w:val="both"/>
              <w:rPr>
                <w:rtl/>
              </w:rPr>
            </w:pPr>
            <w:r w:rsidRPr="007B2E18">
              <w:rPr>
                <w:rFonts w:cs="Arial"/>
                <w:rtl/>
              </w:rPr>
              <w:t xml:space="preserve">שנהב, א' </w:t>
            </w:r>
            <w:proofErr w:type="spellStart"/>
            <w:r w:rsidRPr="007B2E18">
              <w:rPr>
                <w:rFonts w:cs="Arial"/>
                <w:rtl/>
              </w:rPr>
              <w:t>ורזין</w:t>
            </w:r>
            <w:proofErr w:type="spellEnd"/>
            <w:r w:rsidRPr="007B2E18">
              <w:rPr>
                <w:rFonts w:cs="Arial"/>
                <w:rtl/>
              </w:rPr>
              <w:t xml:space="preserve"> ע'. 2018. </w:t>
            </w:r>
            <w:r w:rsidRPr="007B2E18">
              <w:rPr>
                <w:rFonts w:cs="Arial"/>
                <w:i/>
                <w:iCs/>
                <w:rtl/>
              </w:rPr>
              <w:t>היקשרות למקום בשכונות שונות ובעיר אחת</w:t>
            </w:r>
            <w:r w:rsidRPr="007B2E18">
              <w:rPr>
                <w:rFonts w:cs="Arial"/>
                <w:rtl/>
              </w:rPr>
              <w:t xml:space="preserve">. ירושלים: מכון </w:t>
            </w:r>
            <w:proofErr w:type="spellStart"/>
            <w:r w:rsidRPr="007B2E18">
              <w:rPr>
                <w:rFonts w:cs="Arial"/>
                <w:rtl/>
              </w:rPr>
              <w:t>פלורסהיימר</w:t>
            </w:r>
            <w:proofErr w:type="spellEnd"/>
            <w:r w:rsidRPr="007B2E18">
              <w:rPr>
                <w:rFonts w:cs="Arial"/>
                <w:rtl/>
              </w:rPr>
              <w:t xml:space="preserve"> למחקרי מדיניות. </w:t>
            </w:r>
          </w:p>
          <w:p w:rsidR="00F36856" w:rsidRDefault="00F36856" w:rsidP="002C2A5D">
            <w:pPr>
              <w:spacing w:line="276" w:lineRule="auto"/>
              <w:rPr>
                <w:rtl/>
              </w:rPr>
            </w:pPr>
          </w:p>
          <w:p w:rsidR="00F36856" w:rsidRDefault="00F36856" w:rsidP="007269C7">
            <w:pPr>
              <w:bidi w:val="0"/>
              <w:spacing w:line="276" w:lineRule="auto"/>
              <w:jc w:val="both"/>
            </w:pPr>
            <w:r>
              <w:t xml:space="preserve">Christens, B. D., Peterson, N. A., &amp; Speer, P. W. (2011). Community Participation and Psychological Empowerment: Testing Reciprocal Causality Using a Cross-Lagged Panel Design and Latent Construct. </w:t>
            </w:r>
            <w:r w:rsidRPr="00B21408">
              <w:rPr>
                <w:i/>
                <w:iCs/>
              </w:rPr>
              <w:t>Health, education &amp; behavior</w:t>
            </w:r>
            <w:r>
              <w:t>, 38, 4, 339-47.</w:t>
            </w:r>
          </w:p>
          <w:p w:rsidR="00F36856" w:rsidRDefault="00F36856" w:rsidP="007269C7">
            <w:pPr>
              <w:bidi w:val="0"/>
              <w:spacing w:line="276" w:lineRule="auto"/>
              <w:jc w:val="both"/>
              <w:rPr>
                <w:rtl/>
              </w:rPr>
            </w:pPr>
          </w:p>
          <w:p w:rsidR="00F36856" w:rsidRDefault="00F36856" w:rsidP="007269C7">
            <w:pPr>
              <w:bidi w:val="0"/>
              <w:spacing w:line="276" w:lineRule="auto"/>
              <w:jc w:val="both"/>
            </w:pPr>
            <w:r>
              <w:t xml:space="preserve">Fung, A. (2006). Varieties of Participation in Complex Governance. </w:t>
            </w:r>
            <w:r w:rsidRPr="00B21408">
              <w:rPr>
                <w:i/>
                <w:iCs/>
              </w:rPr>
              <w:t>Public Administration Review</w:t>
            </w:r>
            <w:r>
              <w:t>, 66, 66-75.</w:t>
            </w:r>
          </w:p>
          <w:p w:rsidR="00B21408" w:rsidRDefault="00B21408" w:rsidP="007269C7">
            <w:pPr>
              <w:bidi w:val="0"/>
              <w:spacing w:line="276" w:lineRule="auto"/>
              <w:jc w:val="both"/>
            </w:pPr>
          </w:p>
          <w:p w:rsidR="00F36856" w:rsidRDefault="00F36856" w:rsidP="007269C7">
            <w:pPr>
              <w:bidi w:val="0"/>
              <w:spacing w:line="276" w:lineRule="auto"/>
              <w:jc w:val="both"/>
            </w:pPr>
            <w:proofErr w:type="spellStart"/>
            <w:r>
              <w:t>Kweit</w:t>
            </w:r>
            <w:proofErr w:type="spellEnd"/>
            <w:r>
              <w:t xml:space="preserve">, M. G. and </w:t>
            </w:r>
            <w:proofErr w:type="spellStart"/>
            <w:r>
              <w:t>Kweit</w:t>
            </w:r>
            <w:proofErr w:type="spellEnd"/>
            <w:r>
              <w:t xml:space="preserve">, R. W. (2007). Participation, Perception of Participation, and Citizen Support. </w:t>
            </w:r>
            <w:r w:rsidRPr="00B21408">
              <w:rPr>
                <w:i/>
                <w:iCs/>
              </w:rPr>
              <w:t>American Political Research</w:t>
            </w:r>
            <w:r>
              <w:t>, 35, 3, 407-25.</w:t>
            </w:r>
          </w:p>
          <w:p w:rsidR="00F36856" w:rsidRDefault="00F36856" w:rsidP="007269C7">
            <w:pPr>
              <w:bidi w:val="0"/>
              <w:spacing w:line="276" w:lineRule="auto"/>
              <w:jc w:val="both"/>
              <w:rPr>
                <w:rtl/>
              </w:rPr>
            </w:pPr>
          </w:p>
          <w:p w:rsidR="00F36856" w:rsidRDefault="00F36856" w:rsidP="007269C7">
            <w:pPr>
              <w:bidi w:val="0"/>
              <w:spacing w:line="276" w:lineRule="auto"/>
              <w:jc w:val="both"/>
            </w:pPr>
            <w:r>
              <w:t xml:space="preserve">Manzo, L. C., &amp; Perkins, D. D. (2006). Finding Common Ground: The Importance of Place Attachment to Community Participation and Planning. </w:t>
            </w:r>
            <w:r w:rsidRPr="00B21408">
              <w:rPr>
                <w:i/>
                <w:iCs/>
              </w:rPr>
              <w:t>Journal of Planning Literature</w:t>
            </w:r>
            <w:r>
              <w:t>, 20, 4, 335-50.</w:t>
            </w:r>
          </w:p>
          <w:p w:rsidR="00F36856" w:rsidRDefault="00F36856" w:rsidP="007269C7">
            <w:pPr>
              <w:bidi w:val="0"/>
              <w:spacing w:line="276" w:lineRule="auto"/>
              <w:jc w:val="both"/>
              <w:rPr>
                <w:rtl/>
              </w:rPr>
            </w:pPr>
          </w:p>
          <w:p w:rsidR="00F36856" w:rsidRDefault="00F36856" w:rsidP="007269C7">
            <w:pPr>
              <w:bidi w:val="0"/>
              <w:spacing w:line="276" w:lineRule="auto"/>
              <w:jc w:val="both"/>
            </w:pPr>
            <w:r>
              <w:t xml:space="preserve">Stern, E., </w:t>
            </w:r>
            <w:proofErr w:type="spellStart"/>
            <w:r>
              <w:t>Gudes</w:t>
            </w:r>
            <w:proofErr w:type="spellEnd"/>
            <w:r>
              <w:t xml:space="preserve">, O., &amp; </w:t>
            </w:r>
            <w:proofErr w:type="spellStart"/>
            <w:r>
              <w:t>Svoray</w:t>
            </w:r>
            <w:proofErr w:type="spellEnd"/>
            <w:r>
              <w:t xml:space="preserve">, T. (2009).  Web-Based and Traditional Public Participation in Comprehensive Planning: A Comparative Study. </w:t>
            </w:r>
            <w:r w:rsidRPr="00B21408">
              <w:rPr>
                <w:i/>
                <w:iCs/>
              </w:rPr>
              <w:t>Environment and Planning B: Planning and Design</w:t>
            </w:r>
            <w:r>
              <w:t>, 36, 1067- 85.</w:t>
            </w:r>
          </w:p>
          <w:p w:rsidR="00DA3BFD" w:rsidRDefault="00DA3BFD" w:rsidP="002C2A5D">
            <w:pPr>
              <w:spacing w:line="276" w:lineRule="auto"/>
              <w:rPr>
                <w:rtl/>
              </w:rPr>
            </w:pPr>
          </w:p>
        </w:tc>
      </w:tr>
      <w:tr w:rsidR="00DA3BFD" w:rsidTr="00DA3BFD">
        <w:tc>
          <w:tcPr>
            <w:tcW w:w="8296" w:type="dxa"/>
            <w:gridSpan w:val="4"/>
            <w:shd w:val="clear" w:color="auto" w:fill="000000" w:themeFill="text1"/>
          </w:tcPr>
          <w:p w:rsidR="00DA3BFD" w:rsidRPr="00DA3BFD" w:rsidRDefault="00DA3BFD" w:rsidP="002C2A5D">
            <w:pPr>
              <w:spacing w:line="276" w:lineRule="auto"/>
              <w:rPr>
                <w:color w:val="FFFFFF" w:themeColor="background1"/>
                <w:rtl/>
              </w:rPr>
            </w:pPr>
            <w:r w:rsidRPr="00DA3BFD">
              <w:rPr>
                <w:rFonts w:hint="cs"/>
                <w:color w:val="FFFFFF" w:themeColor="background1"/>
                <w:rtl/>
              </w:rPr>
              <w:t>דרישות הקורס</w:t>
            </w:r>
          </w:p>
        </w:tc>
      </w:tr>
      <w:tr w:rsidR="00DA3BFD" w:rsidTr="008A1999">
        <w:tc>
          <w:tcPr>
            <w:tcW w:w="8296" w:type="dxa"/>
            <w:gridSpan w:val="4"/>
          </w:tcPr>
          <w:p w:rsidR="00DA3BFD" w:rsidRDefault="00DA3BFD" w:rsidP="002C2A5D">
            <w:pPr>
              <w:spacing w:line="276" w:lineRule="auto"/>
              <w:rPr>
                <w:b/>
                <w:bCs/>
                <w:rtl/>
              </w:rPr>
            </w:pPr>
            <w:r w:rsidRPr="00B64E7F">
              <w:rPr>
                <w:rFonts w:hint="cs"/>
                <w:b/>
                <w:bCs/>
                <w:rtl/>
              </w:rPr>
              <w:t>מטלות ומשקל מתוך הציון הסופי</w:t>
            </w:r>
          </w:p>
          <w:p w:rsidR="00EE0089" w:rsidRDefault="00EE0089" w:rsidP="002C2A5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10% מהציון הסופי: נוכחות והשתתפות פעילה בשיעורים</w:t>
            </w:r>
          </w:p>
          <w:p w:rsidR="00EE0089" w:rsidRDefault="00EE0089" w:rsidP="007269C7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20% מהציון הסופי: הגשת רפרט בכיתה (ניתן להגיש ב</w:t>
            </w:r>
            <w:r w:rsidR="007269C7">
              <w:rPr>
                <w:rFonts w:hint="cs"/>
                <w:rtl/>
              </w:rPr>
              <w:t>זוגות</w:t>
            </w:r>
            <w:r>
              <w:rPr>
                <w:rFonts w:hint="cs"/>
                <w:rtl/>
              </w:rPr>
              <w:t>)</w:t>
            </w:r>
          </w:p>
          <w:p w:rsidR="00EE0089" w:rsidRPr="00EE0089" w:rsidRDefault="00EE0089" w:rsidP="007269C7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70% מהציון הסופי: הגשת עבודה מסכמת (ניתן להגיש ב</w:t>
            </w:r>
            <w:r w:rsidR="007269C7">
              <w:rPr>
                <w:rFonts w:hint="cs"/>
                <w:rtl/>
              </w:rPr>
              <w:t>זוגות</w:t>
            </w:r>
            <w:r>
              <w:rPr>
                <w:rFonts w:hint="cs"/>
                <w:rtl/>
              </w:rPr>
              <w:t>)</w:t>
            </w:r>
          </w:p>
          <w:p w:rsidR="00DA3BFD" w:rsidRDefault="00DA3BFD" w:rsidP="002C2A5D">
            <w:pPr>
              <w:spacing w:line="276" w:lineRule="auto"/>
              <w:rPr>
                <w:rtl/>
              </w:rPr>
            </w:pPr>
          </w:p>
        </w:tc>
      </w:tr>
      <w:tr w:rsidR="00B64E7F" w:rsidTr="00B64E7F">
        <w:tc>
          <w:tcPr>
            <w:tcW w:w="8296" w:type="dxa"/>
            <w:gridSpan w:val="4"/>
            <w:shd w:val="clear" w:color="auto" w:fill="000000" w:themeFill="text1"/>
          </w:tcPr>
          <w:p w:rsidR="00B64E7F" w:rsidRPr="00B64E7F" w:rsidRDefault="00B64E7F" w:rsidP="002C2A5D">
            <w:pPr>
              <w:spacing w:line="276" w:lineRule="auto"/>
              <w:jc w:val="center"/>
              <w:rPr>
                <w:color w:val="FFFFFF" w:themeColor="background1"/>
                <w:rtl/>
              </w:rPr>
            </w:pPr>
            <w:r w:rsidRPr="00B64E7F">
              <w:rPr>
                <w:rFonts w:hint="cs"/>
                <w:color w:val="FFFFFF" w:themeColor="background1"/>
                <w:rtl/>
              </w:rPr>
              <w:t>לוח זמנים טנטטיבי</w:t>
            </w:r>
          </w:p>
        </w:tc>
      </w:tr>
      <w:tr w:rsidR="00B64E7F" w:rsidTr="00654380">
        <w:tc>
          <w:tcPr>
            <w:tcW w:w="2055" w:type="dxa"/>
          </w:tcPr>
          <w:p w:rsidR="00B64E7F" w:rsidRPr="00B64E7F" w:rsidRDefault="00B64E7F" w:rsidP="002C2A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64E7F">
              <w:rPr>
                <w:rFonts w:hint="cs"/>
                <w:b/>
                <w:bCs/>
                <w:rtl/>
              </w:rPr>
              <w:t>שיעור</w:t>
            </w:r>
          </w:p>
        </w:tc>
        <w:tc>
          <w:tcPr>
            <w:tcW w:w="6241" w:type="dxa"/>
            <w:gridSpan w:val="3"/>
          </w:tcPr>
          <w:p w:rsidR="00B64E7F" w:rsidRPr="00B64E7F" w:rsidRDefault="00B64E7F" w:rsidP="002C2A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64E7F">
              <w:rPr>
                <w:rFonts w:hint="cs"/>
                <w:b/>
                <w:bCs/>
                <w:rtl/>
              </w:rPr>
              <w:t>נושא</w:t>
            </w:r>
          </w:p>
        </w:tc>
      </w:tr>
      <w:tr w:rsidR="00B64E7F" w:rsidTr="00DF4C37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1</w:t>
            </w:r>
          </w:p>
        </w:tc>
        <w:tc>
          <w:tcPr>
            <w:tcW w:w="6241" w:type="dxa"/>
            <w:gridSpan w:val="3"/>
          </w:tcPr>
          <w:p w:rsidR="00B64E7F" w:rsidRPr="00EE0089" w:rsidRDefault="00724A22" w:rsidP="002C2A5D">
            <w:pPr>
              <w:spacing w:line="276" w:lineRule="auto"/>
              <w:rPr>
                <w:rFonts w:ascii="Arial" w:hAnsi="Arial" w:cs="Arial"/>
                <w:rtl/>
              </w:rPr>
            </w:pPr>
            <w:r w:rsidRPr="00EE0089">
              <w:rPr>
                <w:rFonts w:ascii="Arial" w:eastAsia="Times New Roman" w:hAnsi="Arial" w:cs="Arial"/>
                <w:rtl/>
              </w:rPr>
              <w:t>הגדרת התחום והבסיסים האתי, החברתי והתרבותי לשיתוף ציבור</w:t>
            </w:r>
          </w:p>
        </w:tc>
      </w:tr>
      <w:tr w:rsidR="00B64E7F" w:rsidTr="0019760C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2</w:t>
            </w:r>
          </w:p>
        </w:tc>
        <w:tc>
          <w:tcPr>
            <w:tcW w:w="6241" w:type="dxa"/>
            <w:gridSpan w:val="3"/>
          </w:tcPr>
          <w:p w:rsidR="00724A22" w:rsidRPr="00EE0089" w:rsidRDefault="00724A22" w:rsidP="002C2A5D">
            <w:pPr>
              <w:bidi w:val="0"/>
              <w:spacing w:line="276" w:lineRule="auto"/>
              <w:rPr>
                <w:rFonts w:ascii="Arial" w:eastAsia="Times New Roman" w:hAnsi="Arial" w:cs="Arial"/>
                <w:rtl/>
              </w:rPr>
            </w:pPr>
            <w:r w:rsidRPr="00EE0089">
              <w:rPr>
                <w:rFonts w:ascii="Arial" w:eastAsia="Times New Roman" w:hAnsi="Arial" w:cs="Arial"/>
              </w:rPr>
              <w:t>Top-Down public participating</w:t>
            </w:r>
            <w:r w:rsidRPr="00EE0089">
              <w:rPr>
                <w:rFonts w:ascii="Arial" w:eastAsia="Times New Roman" w:hAnsi="Arial" w:cs="Arial"/>
                <w:rtl/>
              </w:rPr>
              <w:t xml:space="preserve">: </w:t>
            </w:r>
          </w:p>
          <w:p w:rsidR="00B64E7F" w:rsidRPr="00EE0089" w:rsidRDefault="00724A22" w:rsidP="002C2A5D">
            <w:pPr>
              <w:tabs>
                <w:tab w:val="left" w:pos="1735"/>
              </w:tabs>
              <w:spacing w:line="276" w:lineRule="auto"/>
            </w:pPr>
            <w:r w:rsidRPr="00EE0089">
              <w:rPr>
                <w:rFonts w:ascii="Arial" w:eastAsia="Times New Roman" w:hAnsi="Arial" w:cs="Arial"/>
                <w:rtl/>
              </w:rPr>
              <w:t>שיתוף ציבור ביוזמת רשויות השלטון.</w:t>
            </w:r>
          </w:p>
        </w:tc>
      </w:tr>
      <w:tr w:rsidR="00B64E7F" w:rsidTr="004C7D24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3</w:t>
            </w:r>
          </w:p>
        </w:tc>
        <w:tc>
          <w:tcPr>
            <w:tcW w:w="6241" w:type="dxa"/>
            <w:gridSpan w:val="3"/>
          </w:tcPr>
          <w:p w:rsidR="00724A22" w:rsidRPr="00EE0089" w:rsidRDefault="00724A22" w:rsidP="002C2A5D">
            <w:pPr>
              <w:tabs>
                <w:tab w:val="left" w:pos="2080"/>
              </w:tabs>
              <w:bidi w:val="0"/>
              <w:spacing w:line="276" w:lineRule="auto"/>
              <w:rPr>
                <w:rFonts w:asciiTheme="minorBidi" w:hAnsiTheme="minorBidi"/>
                <w:rtl/>
              </w:rPr>
            </w:pPr>
            <w:r w:rsidRPr="00EE0089">
              <w:rPr>
                <w:rFonts w:asciiTheme="minorBidi" w:hAnsiTheme="minorBidi"/>
              </w:rPr>
              <w:t>Bottom-Up public participation</w:t>
            </w:r>
            <w:r w:rsidRPr="00EE0089">
              <w:rPr>
                <w:rFonts w:asciiTheme="minorBidi" w:hAnsiTheme="minorBidi"/>
                <w:rtl/>
              </w:rPr>
              <w:t>:</w:t>
            </w:r>
          </w:p>
          <w:p w:rsidR="00B64E7F" w:rsidRPr="00EE0089" w:rsidRDefault="00724A22" w:rsidP="002C2A5D">
            <w:pPr>
              <w:tabs>
                <w:tab w:val="left" w:pos="2080"/>
              </w:tabs>
              <w:spacing w:line="276" w:lineRule="auto"/>
              <w:rPr>
                <w:rtl/>
              </w:rPr>
            </w:pPr>
            <w:r w:rsidRPr="00EE0089">
              <w:rPr>
                <w:rFonts w:cs="Arial"/>
                <w:rtl/>
              </w:rPr>
              <w:t>השתתפות אזרחית וקהילתית כבסיס לשיתוף ציבור</w:t>
            </w:r>
          </w:p>
        </w:tc>
      </w:tr>
      <w:tr w:rsidR="00B64E7F" w:rsidTr="00FB5B32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4</w:t>
            </w:r>
          </w:p>
        </w:tc>
        <w:tc>
          <w:tcPr>
            <w:tcW w:w="6241" w:type="dxa"/>
            <w:gridSpan w:val="3"/>
          </w:tcPr>
          <w:p w:rsidR="00B64E7F" w:rsidRPr="00EE0089" w:rsidRDefault="00724A22" w:rsidP="002C2A5D">
            <w:pPr>
              <w:spacing w:line="276" w:lineRule="auto"/>
              <w:rPr>
                <w:rFonts w:ascii="Arial" w:hAnsi="Arial" w:cs="Arial"/>
                <w:rtl/>
              </w:rPr>
            </w:pPr>
            <w:r w:rsidRPr="00EE0089">
              <w:rPr>
                <w:rFonts w:ascii="Arial" w:eastAsia="Times New Roman" w:hAnsi="Arial" w:cs="Arial"/>
                <w:rtl/>
              </w:rPr>
              <w:t xml:space="preserve">הבסיס הנורמטיבי </w:t>
            </w:r>
            <w:r w:rsidR="00EE0089" w:rsidRPr="00EE0089">
              <w:rPr>
                <w:rFonts w:ascii="Arial" w:eastAsia="Times New Roman" w:hAnsi="Arial" w:cs="Arial" w:hint="cs"/>
                <w:rtl/>
              </w:rPr>
              <w:t xml:space="preserve">והחוקי </w:t>
            </w:r>
            <w:r w:rsidRPr="00EE0089">
              <w:rPr>
                <w:rFonts w:ascii="Arial" w:eastAsia="Times New Roman" w:hAnsi="Arial" w:cs="Arial"/>
                <w:rtl/>
              </w:rPr>
              <w:t>לשיתוף ציבור</w:t>
            </w:r>
          </w:p>
        </w:tc>
      </w:tr>
      <w:tr w:rsidR="00B64E7F" w:rsidTr="00A71E3A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5</w:t>
            </w:r>
          </w:p>
        </w:tc>
        <w:tc>
          <w:tcPr>
            <w:tcW w:w="6241" w:type="dxa"/>
            <w:gridSpan w:val="3"/>
          </w:tcPr>
          <w:p w:rsidR="00B64E7F" w:rsidRPr="00EE0089" w:rsidRDefault="00724A22" w:rsidP="002C2A5D">
            <w:pPr>
              <w:spacing w:line="276" w:lineRule="auto"/>
              <w:rPr>
                <w:rFonts w:ascii="Arial" w:hAnsi="Arial" w:cs="Arial"/>
                <w:rtl/>
              </w:rPr>
            </w:pPr>
            <w:r w:rsidRPr="00EE0089">
              <w:rPr>
                <w:rFonts w:ascii="Arial" w:eastAsia="Times New Roman" w:hAnsi="Arial" w:cs="Arial"/>
                <w:rtl/>
              </w:rPr>
              <w:t xml:space="preserve">גישות </w:t>
            </w:r>
            <w:r w:rsidR="00EE0089" w:rsidRPr="00EE0089">
              <w:rPr>
                <w:rFonts w:ascii="Arial" w:eastAsia="Times New Roman" w:hAnsi="Arial" w:cs="Arial" w:hint="cs"/>
                <w:rtl/>
              </w:rPr>
              <w:t xml:space="preserve">ומודלים נורמטיביים </w:t>
            </w:r>
            <w:r w:rsidRPr="00EE0089">
              <w:rPr>
                <w:rFonts w:ascii="Arial" w:eastAsia="Times New Roman" w:hAnsi="Arial" w:cs="Arial"/>
                <w:rtl/>
              </w:rPr>
              <w:t>לשיתוף ציבור</w:t>
            </w:r>
          </w:p>
        </w:tc>
      </w:tr>
      <w:tr w:rsidR="00B64E7F" w:rsidTr="00AE072D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6</w:t>
            </w:r>
          </w:p>
        </w:tc>
        <w:tc>
          <w:tcPr>
            <w:tcW w:w="6241" w:type="dxa"/>
            <w:gridSpan w:val="3"/>
          </w:tcPr>
          <w:p w:rsidR="00B64E7F" w:rsidRPr="00EE0089" w:rsidRDefault="00EE0089" w:rsidP="002C2A5D">
            <w:pPr>
              <w:spacing w:line="276" w:lineRule="auto"/>
              <w:rPr>
                <w:rFonts w:ascii="Arial" w:hAnsi="Arial" w:cs="Arial"/>
                <w:rtl/>
              </w:rPr>
            </w:pPr>
            <w:r w:rsidRPr="00EE0089">
              <w:rPr>
                <w:rFonts w:ascii="Arial" w:eastAsia="Times New Roman" w:hAnsi="Arial" w:cs="Arial" w:hint="cs"/>
                <w:rtl/>
              </w:rPr>
              <w:t>מעבר מחשיבה נורמטיבית להתמקדות בפרט ו</w:t>
            </w:r>
            <w:r w:rsidR="00724A22" w:rsidRPr="00EE0089">
              <w:rPr>
                <w:rFonts w:ascii="Arial" w:eastAsia="Times New Roman" w:hAnsi="Arial" w:cs="Arial"/>
                <w:rtl/>
              </w:rPr>
              <w:t>לגישות אי-רציונליות לשיתוף ציבור</w:t>
            </w:r>
          </w:p>
        </w:tc>
      </w:tr>
      <w:tr w:rsidR="00B64E7F" w:rsidTr="00DD0B98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7</w:t>
            </w:r>
          </w:p>
        </w:tc>
        <w:tc>
          <w:tcPr>
            <w:tcW w:w="6241" w:type="dxa"/>
            <w:gridSpan w:val="3"/>
          </w:tcPr>
          <w:p w:rsidR="00B64E7F" w:rsidRPr="00EE0089" w:rsidRDefault="00724A22" w:rsidP="002C2A5D">
            <w:pPr>
              <w:spacing w:line="276" w:lineRule="auto"/>
              <w:rPr>
                <w:rFonts w:ascii="Arial" w:hAnsi="Arial" w:cs="Arial"/>
                <w:rtl/>
              </w:rPr>
            </w:pPr>
            <w:r w:rsidRPr="00EE0089">
              <w:rPr>
                <w:rFonts w:ascii="Arial" w:eastAsia="Times New Roman" w:hAnsi="Arial" w:cs="Arial"/>
                <w:rtl/>
              </w:rPr>
              <w:t>תפיסות, אמונות ואמון בשיח על שיתוף ציבור</w:t>
            </w:r>
          </w:p>
        </w:tc>
      </w:tr>
      <w:tr w:rsidR="00B64E7F" w:rsidTr="000759DE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8</w:t>
            </w:r>
          </w:p>
        </w:tc>
        <w:tc>
          <w:tcPr>
            <w:tcW w:w="6241" w:type="dxa"/>
            <w:gridSpan w:val="3"/>
          </w:tcPr>
          <w:p w:rsidR="00B64E7F" w:rsidRPr="00EE0089" w:rsidRDefault="00724A22" w:rsidP="002C2A5D">
            <w:pPr>
              <w:spacing w:line="276" w:lineRule="auto"/>
              <w:rPr>
                <w:rFonts w:ascii="Arial" w:hAnsi="Arial" w:cs="Arial"/>
                <w:rtl/>
              </w:rPr>
            </w:pPr>
            <w:r w:rsidRPr="00EE0089">
              <w:rPr>
                <w:rFonts w:ascii="Arial" w:eastAsia="Times New Roman" w:hAnsi="Arial" w:cs="Arial"/>
                <w:rtl/>
              </w:rPr>
              <w:t>משתנים פסיכולוגיים ופוליטיים בניהול שיתוף ציבור</w:t>
            </w:r>
          </w:p>
        </w:tc>
      </w:tr>
      <w:tr w:rsidR="00B64E7F" w:rsidTr="00A9037B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9</w:t>
            </w:r>
          </w:p>
        </w:tc>
        <w:tc>
          <w:tcPr>
            <w:tcW w:w="6241" w:type="dxa"/>
            <w:gridSpan w:val="3"/>
          </w:tcPr>
          <w:p w:rsidR="00B64E7F" w:rsidRPr="00EE0089" w:rsidRDefault="00724A22" w:rsidP="002C2A5D">
            <w:pPr>
              <w:spacing w:line="276" w:lineRule="auto"/>
              <w:rPr>
                <w:rFonts w:ascii="Arial" w:hAnsi="Arial" w:cs="Arial"/>
                <w:rtl/>
              </w:rPr>
            </w:pPr>
            <w:r w:rsidRPr="00EE0089">
              <w:rPr>
                <w:rFonts w:ascii="Arial" w:eastAsia="Times New Roman" w:hAnsi="Arial" w:cs="Arial"/>
                <w:rtl/>
              </w:rPr>
              <w:t>שיתוף ציבור בתכנון אסטרטגי מקומי ואזורי</w:t>
            </w:r>
          </w:p>
        </w:tc>
      </w:tr>
      <w:tr w:rsidR="00B64E7F" w:rsidTr="00F0595C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10</w:t>
            </w:r>
          </w:p>
        </w:tc>
        <w:tc>
          <w:tcPr>
            <w:tcW w:w="6241" w:type="dxa"/>
            <w:gridSpan w:val="3"/>
          </w:tcPr>
          <w:p w:rsidR="00B64E7F" w:rsidRPr="00EE0089" w:rsidRDefault="00724A22" w:rsidP="002C2A5D">
            <w:pPr>
              <w:spacing w:line="276" w:lineRule="auto"/>
              <w:rPr>
                <w:rFonts w:ascii="Arial" w:hAnsi="Arial" w:cs="Arial"/>
                <w:rtl/>
              </w:rPr>
            </w:pPr>
            <w:r w:rsidRPr="00EE0089">
              <w:rPr>
                <w:rFonts w:ascii="Arial" w:eastAsia="Times New Roman" w:hAnsi="Arial" w:cs="Arial"/>
                <w:rtl/>
              </w:rPr>
              <w:t>שיתוף ציבור ובינוי קהילה: המקרה של קהילות בגדילה מואצת</w:t>
            </w:r>
          </w:p>
        </w:tc>
      </w:tr>
      <w:tr w:rsidR="00B64E7F" w:rsidTr="008E5823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11</w:t>
            </w:r>
          </w:p>
        </w:tc>
        <w:tc>
          <w:tcPr>
            <w:tcW w:w="6241" w:type="dxa"/>
            <w:gridSpan w:val="3"/>
          </w:tcPr>
          <w:p w:rsidR="00B64E7F" w:rsidRPr="00EE0089" w:rsidRDefault="00724A22" w:rsidP="002C2A5D">
            <w:pPr>
              <w:spacing w:line="276" w:lineRule="auto"/>
              <w:rPr>
                <w:rFonts w:ascii="Arial" w:hAnsi="Arial" w:cs="Arial"/>
                <w:rtl/>
              </w:rPr>
            </w:pPr>
            <w:r w:rsidRPr="00EE0089">
              <w:rPr>
                <w:rFonts w:ascii="Arial" w:eastAsia="Times New Roman" w:hAnsi="Arial" w:cs="Arial"/>
                <w:rtl/>
              </w:rPr>
              <w:t xml:space="preserve">שיתוף ציבור בקהילות </w:t>
            </w:r>
            <w:r w:rsidR="00EE0089" w:rsidRPr="00EE0089">
              <w:rPr>
                <w:rFonts w:ascii="Arial" w:eastAsia="Times New Roman" w:hAnsi="Arial" w:cs="Arial" w:hint="cs"/>
                <w:rtl/>
              </w:rPr>
              <w:t>שמרניות (מכאניות)</w:t>
            </w:r>
            <w:r w:rsidRPr="00EE0089">
              <w:rPr>
                <w:rFonts w:ascii="Arial" w:eastAsia="Times New Roman" w:hAnsi="Arial" w:cs="Arial"/>
                <w:rtl/>
              </w:rPr>
              <w:t>: החרדים והבדואים</w:t>
            </w:r>
          </w:p>
        </w:tc>
      </w:tr>
      <w:tr w:rsidR="00B64E7F" w:rsidTr="003A2DB9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12</w:t>
            </w:r>
          </w:p>
        </w:tc>
        <w:tc>
          <w:tcPr>
            <w:tcW w:w="6241" w:type="dxa"/>
            <w:gridSpan w:val="3"/>
          </w:tcPr>
          <w:p w:rsidR="00B64E7F" w:rsidRPr="00EE0089" w:rsidRDefault="00EE0089" w:rsidP="002C2A5D">
            <w:pPr>
              <w:spacing w:line="276" w:lineRule="auto"/>
              <w:rPr>
                <w:rtl/>
              </w:rPr>
            </w:pPr>
            <w:r w:rsidRPr="00EE0089">
              <w:rPr>
                <w:rFonts w:hint="cs"/>
                <w:rtl/>
              </w:rPr>
              <w:t>הרשות המקומית ככוורת של פרופסיות שיתוף ואתגר שילוב השיתוף עם מערכות ניהול עירוניות חכמות</w:t>
            </w:r>
          </w:p>
        </w:tc>
      </w:tr>
      <w:tr w:rsidR="00B64E7F" w:rsidTr="006F7F3D">
        <w:tc>
          <w:tcPr>
            <w:tcW w:w="2055" w:type="dxa"/>
          </w:tcPr>
          <w:p w:rsidR="00B64E7F" w:rsidRPr="00EE0089" w:rsidRDefault="00B64E7F" w:rsidP="002C2A5D">
            <w:pPr>
              <w:spacing w:line="276" w:lineRule="auto"/>
              <w:jc w:val="center"/>
              <w:rPr>
                <w:rtl/>
              </w:rPr>
            </w:pPr>
            <w:r w:rsidRPr="00EE0089">
              <w:rPr>
                <w:rFonts w:hint="cs"/>
                <w:rtl/>
              </w:rPr>
              <w:t>13</w:t>
            </w:r>
          </w:p>
        </w:tc>
        <w:tc>
          <w:tcPr>
            <w:tcW w:w="6241" w:type="dxa"/>
            <w:gridSpan w:val="3"/>
          </w:tcPr>
          <w:p w:rsidR="00B64E7F" w:rsidRPr="00EE0089" w:rsidRDefault="00EE0089" w:rsidP="002C2A5D">
            <w:pPr>
              <w:spacing w:line="276" w:lineRule="auto"/>
              <w:rPr>
                <w:rtl/>
              </w:rPr>
            </w:pPr>
            <w:r w:rsidRPr="00EE0089">
              <w:rPr>
                <w:rFonts w:hint="cs"/>
                <w:rtl/>
              </w:rPr>
              <w:t>סיכום</w:t>
            </w:r>
          </w:p>
        </w:tc>
      </w:tr>
    </w:tbl>
    <w:p w:rsidR="00ED24D5" w:rsidRDefault="00ED24D5"/>
    <w:sectPr w:rsidR="00ED24D5" w:rsidSect="007B56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FD"/>
    <w:rsid w:val="002C2A5D"/>
    <w:rsid w:val="00405A4D"/>
    <w:rsid w:val="00724A22"/>
    <w:rsid w:val="007269C7"/>
    <w:rsid w:val="007B2E18"/>
    <w:rsid w:val="007B56E5"/>
    <w:rsid w:val="00860B86"/>
    <w:rsid w:val="008847DD"/>
    <w:rsid w:val="00954820"/>
    <w:rsid w:val="00B21408"/>
    <w:rsid w:val="00B64E7F"/>
    <w:rsid w:val="00C06EEB"/>
    <w:rsid w:val="00C414BF"/>
    <w:rsid w:val="00CB20FB"/>
    <w:rsid w:val="00D90EBA"/>
    <w:rsid w:val="00DA3BFD"/>
    <w:rsid w:val="00ED24D5"/>
    <w:rsid w:val="00EE0089"/>
    <w:rsid w:val="00EE5077"/>
    <w:rsid w:val="00F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FF714-D92B-4057-9EC1-592FA2CE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764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sagi</dc:creator>
  <cp:keywords/>
  <dc:description/>
  <cp:lastModifiedBy>yariv sagi</cp:lastModifiedBy>
  <cp:revision>11</cp:revision>
  <dcterms:created xsi:type="dcterms:W3CDTF">2019-01-06T14:45:00Z</dcterms:created>
  <dcterms:modified xsi:type="dcterms:W3CDTF">2019-01-06T16:03:00Z</dcterms:modified>
</cp:coreProperties>
</file>